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250" w:beforeAutospacing="0" w:after="0" w:afterAutospacing="0" w:line="370" w:lineRule="atLeast"/>
        <w:ind w:left="0" w:right="0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盟本级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</w:rPr>
        <w:t>及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旗县市（区）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</w:rPr>
        <w:t>执法检查企业基础数量分配表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250" w:beforeAutospacing="0" w:after="0" w:afterAutospacing="0" w:line="370" w:lineRule="atLeast"/>
        <w:ind w:left="0" w:right="0"/>
        <w:jc w:val="center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8"/>
        <w:tblW w:w="11905" w:type="dxa"/>
        <w:jc w:val="center"/>
        <w:tblInd w:w="10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3469"/>
        <w:gridCol w:w="6027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  位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执法检查企业基础数量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本级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二连浩特市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锡林浩特市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阿巴嘎旗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苏尼特左旗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苏尼特右旗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东乌珠穆沁旗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西乌珠穆沁旗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太仆寺旗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镶黄旗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正镶白旗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正蓝旗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多伦县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乌拉盖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100" w:firstLineChars="100"/>
    </w:pPr>
  </w:style>
  <w:style w:type="paragraph" w:customStyle="1" w:styleId="3">
    <w:name w:val="Body Text1"/>
    <w:basedOn w:val="1"/>
    <w:qFormat/>
    <w:uiPriority w:val="0"/>
    <w:rPr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HM</cp:lastModifiedBy>
  <dcterms:modified xsi:type="dcterms:W3CDTF">2024-06-20T00:30:01Z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